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589" w:rsidRPr="00C86CD5" w:rsidRDefault="00A43589" w:rsidP="00C86CD5">
      <w:pPr>
        <w:bidi w:val="0"/>
        <w:jc w:val="center"/>
        <w:rPr>
          <w:rFonts w:cs="David"/>
          <w:b/>
          <w:bCs/>
          <w:sz w:val="24"/>
          <w:szCs w:val="24"/>
          <w:u w:val="single"/>
        </w:rPr>
      </w:pPr>
      <w:r w:rsidRPr="00C86CD5">
        <w:rPr>
          <w:rFonts w:cs="David" w:hint="cs"/>
          <w:b/>
          <w:bCs/>
          <w:sz w:val="24"/>
          <w:szCs w:val="24"/>
          <w:u w:val="single"/>
          <w:rtl/>
        </w:rPr>
        <w:t>שאלות ממבחני יזמות עסקית</w:t>
      </w:r>
    </w:p>
    <w:p w:rsidR="00A43589" w:rsidRPr="00C86CD5" w:rsidRDefault="00A43589" w:rsidP="00C86CD5">
      <w:pPr>
        <w:rPr>
          <w:rFonts w:cs="David"/>
          <w:b/>
          <w:bCs/>
          <w:sz w:val="24"/>
          <w:szCs w:val="24"/>
          <w:u w:val="single"/>
        </w:rPr>
      </w:pPr>
      <w:r w:rsidRPr="00C86CD5">
        <w:rPr>
          <w:rFonts w:cs="David" w:hint="cs"/>
          <w:b/>
          <w:bCs/>
          <w:sz w:val="24"/>
          <w:szCs w:val="24"/>
          <w:u w:val="single"/>
          <w:rtl/>
        </w:rPr>
        <w:t>שיעור</w:t>
      </w:r>
      <w:r w:rsidR="000E18C2" w:rsidRPr="00C86CD5">
        <w:rPr>
          <w:rFonts w:cs="David" w:hint="cs"/>
          <w:b/>
          <w:bCs/>
          <w:sz w:val="24"/>
          <w:szCs w:val="24"/>
          <w:u w:val="single"/>
          <w:rtl/>
        </w:rPr>
        <w:t xml:space="preserve"> </w:t>
      </w:r>
      <w:r w:rsidR="00C86CD5" w:rsidRPr="00C86CD5">
        <w:rPr>
          <w:rFonts w:cs="David" w:hint="cs"/>
          <w:b/>
          <w:bCs/>
          <w:sz w:val="24"/>
          <w:szCs w:val="24"/>
          <w:u w:val="single"/>
          <w:rtl/>
        </w:rPr>
        <w:t>7</w:t>
      </w:r>
      <w:r w:rsidRPr="00C86CD5">
        <w:rPr>
          <w:rFonts w:cs="David" w:hint="cs"/>
          <w:b/>
          <w:bCs/>
          <w:sz w:val="24"/>
          <w:szCs w:val="24"/>
          <w:u w:val="single"/>
          <w:rtl/>
        </w:rPr>
        <w:t>- מטלה 1- ציון 100</w:t>
      </w:r>
    </w:p>
    <w:p w:rsidR="00C86CD5" w:rsidRPr="00C86CD5" w:rsidRDefault="00C86CD5" w:rsidP="00C86CD5">
      <w:pPr>
        <w:bidi w:val="0"/>
        <w:rPr>
          <w:rFonts w:cs="David" w:hint="cs"/>
          <w:b/>
          <w:bCs/>
          <w:sz w:val="24"/>
          <w:szCs w:val="24"/>
          <w:u w:val="single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C86CD5" w:rsidRPr="00C86CD5" w:rsidTr="00C86CD5">
        <w:trPr>
          <w:tblCellSpacing w:w="0" w:type="dxa"/>
        </w:trPr>
        <w:tc>
          <w:tcPr>
            <w:tcW w:w="0" w:type="auto"/>
            <w:vAlign w:val="center"/>
            <w:hideMark/>
          </w:tcPr>
          <w:p w:rsidR="00C86CD5" w:rsidRPr="00C86CD5" w:rsidRDefault="00C86CD5" w:rsidP="00C86CD5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C86CD5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קרן המשך של קרן הון סיכון קיימת תנקוט מדיניות השקעה המבוססת על</w:t>
            </w:r>
            <w:r w:rsidRPr="00C86CD5">
              <w:rPr>
                <w:rFonts w:ascii="Arial" w:eastAsia="Times New Roman" w:hAnsi="Arial" w:cs="David"/>
                <w:sz w:val="24"/>
                <w:szCs w:val="24"/>
              </w:rPr>
              <w:t>:</w:t>
            </w:r>
          </w:p>
        </w:tc>
      </w:tr>
      <w:tr w:rsidR="00C86CD5" w:rsidRPr="00C86CD5" w:rsidTr="00C86CD5">
        <w:trPr>
          <w:tblCellSpacing w:w="0" w:type="dxa"/>
        </w:trPr>
        <w:tc>
          <w:tcPr>
            <w:tcW w:w="0" w:type="auto"/>
            <w:vAlign w:val="center"/>
            <w:hideMark/>
          </w:tcPr>
          <w:p w:rsidR="00C86CD5" w:rsidRPr="00C86CD5" w:rsidRDefault="00C86CD5" w:rsidP="00C86CD5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C86CD5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C86CD5" w:rsidRPr="00C86CD5" w:rsidRDefault="00C86CD5" w:rsidP="00C86CD5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C86CD5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C86CD5" w:rsidRPr="00C86CD5" w:rsidRDefault="00C86CD5" w:rsidP="00C86CD5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C86CD5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C86CD5" w:rsidRPr="00C86CD5" w:rsidTr="00C86CD5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C86CD5" w:rsidRPr="00C86CD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276" type="#_x0000_t75" style="width:20.25pt;height:18pt" o:ole="">
                        <v:imagedata r:id="rId5" o:title=""/>
                      </v:shape>
                      <w:control r:id="rId6" w:name="DefaultOcxName" w:shapeid="_x0000_i127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רמות סיכון ותחומי השקעה זהים לקרן הקודמת - גם אם צוות הניהול התחלף</w:t>
                  </w:r>
                </w:p>
              </w:tc>
            </w:tr>
            <w:tr w:rsidR="00C86CD5" w:rsidRPr="00C86CD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75" type="#_x0000_t75" style="width:20.25pt;height:18pt" o:ole="">
                        <v:imagedata r:id="rId7" o:title=""/>
                      </v:shape>
                      <w:control r:id="rId8" w:name="DefaultOcxName1" w:shapeid="_x0000_i127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אותם עקרונות בדיוק שנקבעו בקרן הקודמת - שכן זהו תחום המומחיות של צוות הניהול שלה</w:t>
                  </w:r>
                </w:p>
              </w:tc>
            </w:tr>
            <w:tr w:rsidR="00C86CD5" w:rsidRPr="00C86CD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74" type="#_x0000_t75" style="width:20.25pt;height:18pt" o:ole="">
                        <v:imagedata r:id="rId9" o:title=""/>
                      </v:shape>
                      <w:control r:id="rId10" w:name="DefaultOcxName2" w:shapeid="_x0000_i127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תקנון הקרן, שיכול תיאורטית להיות שונה מהקרן הקודמת גם אם זו נוהלה ע"י אותו צוות ניהולי</w:t>
                  </w:r>
                </w:p>
              </w:tc>
            </w:tr>
            <w:tr w:rsidR="00C86CD5" w:rsidRPr="00C86CD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73" type="#_x0000_t75" style="width:20.25pt;height:18pt" o:ole="">
                        <v:imagedata r:id="rId11" o:title=""/>
                      </v:shape>
                      <w:control r:id="rId12" w:name="DefaultOcxName3" w:shapeid="_x0000_i127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מיקוד השקעות בחברות הפורטפוליו של הקרן הקודמת - כדי לשמר את </w:t>
                  </w:r>
                  <w:proofErr w:type="spellStart"/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סיכויהן</w:t>
                  </w:r>
                  <w:proofErr w:type="spellEnd"/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 להצליח</w:t>
                  </w:r>
                </w:p>
              </w:tc>
            </w:tr>
          </w:tbl>
          <w:p w:rsidR="00C86CD5" w:rsidRPr="00C86CD5" w:rsidRDefault="00C86CD5" w:rsidP="00C86CD5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C86CD5" w:rsidRPr="00C86CD5" w:rsidRDefault="00C86CD5" w:rsidP="00C86CD5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C86CD5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C86CD5" w:rsidRPr="00C86CD5" w:rsidRDefault="00C86CD5" w:rsidP="00C86CD5">
      <w:pPr>
        <w:bidi w:val="0"/>
        <w:rPr>
          <w:rFonts w:cs="David" w:hint="cs"/>
          <w:b/>
          <w:bCs/>
          <w:sz w:val="24"/>
          <w:szCs w:val="24"/>
          <w:u w:val="single"/>
          <w:rtl/>
        </w:rPr>
      </w:pPr>
    </w:p>
    <w:p w:rsidR="00C86CD5" w:rsidRPr="00C86CD5" w:rsidRDefault="00C86CD5" w:rsidP="00C86CD5">
      <w:pPr>
        <w:bidi w:val="0"/>
        <w:rPr>
          <w:rFonts w:cs="David" w:hint="cs"/>
          <w:b/>
          <w:bCs/>
          <w:sz w:val="24"/>
          <w:szCs w:val="24"/>
          <w:u w:val="single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C86CD5" w:rsidRPr="00C86CD5" w:rsidTr="00C86CD5">
        <w:trPr>
          <w:tblCellSpacing w:w="0" w:type="dxa"/>
        </w:trPr>
        <w:tc>
          <w:tcPr>
            <w:tcW w:w="0" w:type="auto"/>
            <w:vAlign w:val="center"/>
            <w:hideMark/>
          </w:tcPr>
          <w:p w:rsidR="00C86CD5" w:rsidRPr="00C86CD5" w:rsidRDefault="00C86CD5" w:rsidP="00C86CD5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C86CD5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אם תקופת ההשקעה המוצהרת של הקרן מסתיימת, היא מפסיקה לפעול</w:t>
            </w:r>
            <w:r w:rsidRPr="00C86CD5">
              <w:rPr>
                <w:rFonts w:ascii="Arial" w:eastAsia="Times New Roman" w:hAnsi="Arial" w:cs="David"/>
                <w:sz w:val="24"/>
                <w:szCs w:val="24"/>
                <w:rtl/>
              </w:rPr>
              <w:t>:</w:t>
            </w:r>
          </w:p>
        </w:tc>
      </w:tr>
      <w:tr w:rsidR="00C86CD5" w:rsidRPr="00C86CD5" w:rsidTr="00C86CD5">
        <w:trPr>
          <w:tblCellSpacing w:w="0" w:type="dxa"/>
        </w:trPr>
        <w:tc>
          <w:tcPr>
            <w:tcW w:w="0" w:type="auto"/>
            <w:vAlign w:val="center"/>
            <w:hideMark/>
          </w:tcPr>
          <w:p w:rsidR="00C86CD5" w:rsidRPr="00C86CD5" w:rsidRDefault="00C86CD5" w:rsidP="00C86CD5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C86CD5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C86CD5" w:rsidRPr="00C86CD5" w:rsidRDefault="00C86CD5" w:rsidP="00C86CD5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C86CD5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C86CD5" w:rsidRPr="00C86CD5" w:rsidRDefault="00C86CD5" w:rsidP="00C86CD5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C86CD5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C86CD5" w:rsidRPr="00C86CD5" w:rsidTr="00C86CD5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C86CD5" w:rsidRPr="00C86CD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92" type="#_x0000_t75" style="width:20.25pt;height:18pt" o:ole="">
                        <v:imagedata r:id="rId13" o:title=""/>
                      </v:shape>
                      <w:control r:id="rId14" w:name="DefaultOcxName4" w:shapeid="_x0000_i129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נכון, אבל אם תוקם קרן ממשיכה - היא תשוב להשקיע בחברות הפורטפוליו</w:t>
                  </w:r>
                </w:p>
              </w:tc>
            </w:tr>
            <w:tr w:rsidR="00C86CD5" w:rsidRPr="00C86CD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91" type="#_x0000_t75" style="width:20.25pt;height:18pt" o:ole="">
                        <v:imagedata r:id="rId15" o:title=""/>
                      </v:shape>
                      <w:control r:id="rId16" w:name="DefaultOcxName11" w:shapeid="_x0000_i129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אף תשובה אינה נכונה</w:t>
                  </w:r>
                </w:p>
              </w:tc>
            </w:tr>
            <w:tr w:rsidR="00C86CD5" w:rsidRPr="00C86CD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90" type="#_x0000_t75" style="width:20.25pt;height:18pt" o:ole="">
                        <v:imagedata r:id="rId17" o:title=""/>
                      </v:shape>
                      <w:control r:id="rId18" w:name="DefaultOcxName21" w:shapeid="_x0000_i129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לא נכון, היא עוצרת השקעות חדשות, אבל ממשיכה לתמוך בחברות הפורטפוליו</w:t>
                  </w:r>
                </w:p>
              </w:tc>
            </w:tr>
            <w:tr w:rsidR="00C86CD5" w:rsidRPr="00C86CD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89" type="#_x0000_t75" style="width:20.25pt;height:18pt" o:ole="">
                        <v:imagedata r:id="rId19" o:title=""/>
                      </v:shape>
                      <w:control r:id="rId20" w:name="DefaultOcxName31" w:shapeid="_x0000_i128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נכון, הקרן מתפרקת </w:t>
                  </w:r>
                  <w:proofErr w:type="spellStart"/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מיידית</w:t>
                  </w:r>
                  <w:proofErr w:type="spellEnd"/>
                </w:p>
              </w:tc>
            </w:tr>
          </w:tbl>
          <w:p w:rsidR="00C86CD5" w:rsidRPr="00C86CD5" w:rsidRDefault="00C86CD5" w:rsidP="00C86CD5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C86CD5" w:rsidRPr="00C86CD5" w:rsidRDefault="00C86CD5" w:rsidP="00C86CD5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C86CD5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C86CD5" w:rsidRPr="00C86CD5" w:rsidRDefault="00C86CD5" w:rsidP="00C86CD5">
      <w:pPr>
        <w:bidi w:val="0"/>
        <w:rPr>
          <w:rFonts w:cs="David" w:hint="cs"/>
          <w:b/>
          <w:bCs/>
          <w:sz w:val="24"/>
          <w:szCs w:val="24"/>
          <w:u w:val="single"/>
          <w:rtl/>
        </w:rPr>
      </w:pPr>
    </w:p>
    <w:p w:rsidR="00C86CD5" w:rsidRPr="00C86CD5" w:rsidRDefault="00C86CD5" w:rsidP="00C86CD5">
      <w:pPr>
        <w:bidi w:val="0"/>
        <w:rPr>
          <w:rFonts w:cs="David" w:hint="cs"/>
          <w:b/>
          <w:bCs/>
          <w:sz w:val="24"/>
          <w:szCs w:val="24"/>
          <w:u w:val="single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C86CD5" w:rsidRPr="00C86CD5" w:rsidTr="00C86CD5">
        <w:trPr>
          <w:tblCellSpacing w:w="0" w:type="dxa"/>
        </w:trPr>
        <w:tc>
          <w:tcPr>
            <w:tcW w:w="0" w:type="auto"/>
            <w:vAlign w:val="center"/>
            <w:hideMark/>
          </w:tcPr>
          <w:p w:rsidR="00C86CD5" w:rsidRPr="00C86CD5" w:rsidRDefault="00C86CD5" w:rsidP="00C86CD5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C86CD5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 xml:space="preserve">בעת הכנת </w:t>
            </w:r>
            <w:proofErr w:type="spellStart"/>
            <w:r w:rsidRPr="00C86CD5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תוכנית</w:t>
            </w:r>
            <w:proofErr w:type="spellEnd"/>
            <w:r w:rsidRPr="00C86CD5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 xml:space="preserve"> מימון למיזם על ציר הזמן, יש לקחת שולי בטחון לצורך</w:t>
            </w:r>
            <w:r w:rsidRPr="00C86CD5">
              <w:rPr>
                <w:rFonts w:ascii="Arial" w:eastAsia="Times New Roman" w:hAnsi="Arial" w:cs="David"/>
                <w:sz w:val="24"/>
                <w:szCs w:val="24"/>
                <w:rtl/>
              </w:rPr>
              <w:t>:</w:t>
            </w:r>
          </w:p>
        </w:tc>
      </w:tr>
      <w:tr w:rsidR="00C86CD5" w:rsidRPr="00C86CD5" w:rsidTr="00C86CD5">
        <w:trPr>
          <w:tblCellSpacing w:w="0" w:type="dxa"/>
        </w:trPr>
        <w:tc>
          <w:tcPr>
            <w:tcW w:w="0" w:type="auto"/>
            <w:vAlign w:val="center"/>
            <w:hideMark/>
          </w:tcPr>
          <w:p w:rsidR="00C86CD5" w:rsidRPr="00C86CD5" w:rsidRDefault="00C86CD5" w:rsidP="00C86CD5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C86CD5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 3 תשובות נכונות</w:t>
            </w:r>
          </w:p>
        </w:tc>
      </w:tr>
    </w:tbl>
    <w:p w:rsidR="00C86CD5" w:rsidRPr="00C86CD5" w:rsidRDefault="00C86CD5" w:rsidP="00C86CD5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C86CD5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C86CD5" w:rsidRPr="00C86CD5" w:rsidRDefault="00C86CD5" w:rsidP="00C86CD5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C86CD5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C86CD5" w:rsidRPr="00C86CD5" w:rsidTr="00C86CD5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C86CD5" w:rsidRPr="00C86CD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08" type="#_x0000_t75" style="width:20.25pt;height:18pt" o:ole="">
                        <v:imagedata r:id="rId21" o:title=""/>
                      </v:shape>
                      <w:control r:id="rId22" w:name="DefaultOcxName5" w:shapeid="_x0000_i130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יכולת הצטיידות במלאי כמענה לגידול לא חזוי </w:t>
                  </w:r>
                  <w:proofErr w:type="spellStart"/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בביקושים</w:t>
                  </w:r>
                  <w:proofErr w:type="spellEnd"/>
                </w:p>
              </w:tc>
            </w:tr>
            <w:tr w:rsidR="00C86CD5" w:rsidRPr="00C86CD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07" type="#_x0000_t75" style="width:20.25pt;height:18pt" o:ole="">
                        <v:imagedata r:id="rId23" o:title=""/>
                      </v:shape>
                      <w:control r:id="rId24" w:name="DefaultOcxName12" w:shapeid="_x0000_i130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הכנסות נמוכות מהחזוי או מתאחרות (קשיי גבייה, אשראי לקוחות</w:t>
                  </w: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</w:rPr>
                    <w:t>)</w:t>
                  </w:r>
                </w:p>
              </w:tc>
            </w:tr>
            <w:tr w:rsidR="00C86CD5" w:rsidRPr="00C86CD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06" type="#_x0000_t75" style="width:20.25pt;height:18pt" o:ole="">
                        <v:imagedata r:id="rId25" o:title=""/>
                      </v:shape>
                      <w:control r:id="rId26" w:name="DefaultOcxName22" w:shapeid="_x0000_i130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העלאות שכר לעובדים</w:t>
                  </w:r>
                </w:p>
              </w:tc>
            </w:tr>
            <w:tr w:rsidR="00C86CD5" w:rsidRPr="00C86CD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05" type="#_x0000_t75" style="width:20.25pt;height:18pt" o:ole="">
                        <v:imagedata r:id="rId27" o:title=""/>
                      </v:shape>
                      <w:control r:id="rId28" w:name="DefaultOcxName32" w:shapeid="_x0000_i130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גידול או הקדמה לא חזויים בהוצאות</w:t>
                  </w:r>
                </w:p>
              </w:tc>
            </w:tr>
          </w:tbl>
          <w:p w:rsidR="00C86CD5" w:rsidRPr="00C86CD5" w:rsidRDefault="00C86CD5" w:rsidP="00C86CD5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C86CD5" w:rsidRPr="00C86CD5" w:rsidRDefault="00C86CD5" w:rsidP="00C86CD5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C86CD5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C86CD5" w:rsidRPr="00C86CD5" w:rsidRDefault="00C86CD5" w:rsidP="00C86CD5">
      <w:pPr>
        <w:bidi w:val="0"/>
        <w:rPr>
          <w:rFonts w:cs="David" w:hint="cs"/>
          <w:b/>
          <w:bCs/>
          <w:sz w:val="24"/>
          <w:szCs w:val="24"/>
          <w:u w:val="single"/>
          <w:rtl/>
        </w:rPr>
      </w:pPr>
    </w:p>
    <w:p w:rsidR="00C86CD5" w:rsidRPr="00C86CD5" w:rsidRDefault="00C86CD5" w:rsidP="00C86CD5">
      <w:pPr>
        <w:bidi w:val="0"/>
        <w:rPr>
          <w:rFonts w:cs="David" w:hint="cs"/>
          <w:b/>
          <w:bCs/>
          <w:sz w:val="24"/>
          <w:szCs w:val="24"/>
          <w:u w:val="single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C86CD5" w:rsidRPr="00C86CD5" w:rsidTr="00C86CD5">
        <w:trPr>
          <w:tblCellSpacing w:w="0" w:type="dxa"/>
        </w:trPr>
        <w:tc>
          <w:tcPr>
            <w:tcW w:w="0" w:type="auto"/>
            <w:vAlign w:val="center"/>
            <w:hideMark/>
          </w:tcPr>
          <w:p w:rsidR="00C86CD5" w:rsidRDefault="00C86CD5" w:rsidP="00C86CD5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p w:rsidR="00C86CD5" w:rsidRDefault="00C86CD5" w:rsidP="00C86CD5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p w:rsidR="00C86CD5" w:rsidRDefault="00C86CD5" w:rsidP="00C86CD5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p w:rsidR="00C86CD5" w:rsidRDefault="00C86CD5" w:rsidP="00C86CD5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p w:rsidR="00C86CD5" w:rsidRDefault="00C86CD5" w:rsidP="00C86CD5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p w:rsidR="00C86CD5" w:rsidRPr="00C86CD5" w:rsidRDefault="00C86CD5" w:rsidP="00C86CD5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C86CD5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lastRenderedPageBreak/>
              <w:t>קרן הון סיכון תחפש להשקיע ב</w:t>
            </w:r>
            <w:r w:rsidRPr="00C86CD5">
              <w:rPr>
                <w:rFonts w:ascii="Arial" w:eastAsia="Times New Roman" w:hAnsi="Arial" w:cs="David"/>
                <w:sz w:val="24"/>
                <w:szCs w:val="24"/>
                <w:rtl/>
              </w:rPr>
              <w:t>:</w:t>
            </w:r>
          </w:p>
        </w:tc>
      </w:tr>
      <w:tr w:rsidR="00C86CD5" w:rsidRPr="00C86CD5" w:rsidTr="00C86CD5">
        <w:trPr>
          <w:tblCellSpacing w:w="0" w:type="dxa"/>
        </w:trPr>
        <w:tc>
          <w:tcPr>
            <w:tcW w:w="0" w:type="auto"/>
            <w:vAlign w:val="center"/>
            <w:hideMark/>
          </w:tcPr>
          <w:p w:rsidR="00C86CD5" w:rsidRPr="00C86CD5" w:rsidRDefault="00C86CD5" w:rsidP="00C86CD5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C86CD5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lastRenderedPageBreak/>
              <w:t>בחר בתשובה הנכונה</w:t>
            </w:r>
          </w:p>
        </w:tc>
      </w:tr>
    </w:tbl>
    <w:p w:rsidR="00C86CD5" w:rsidRPr="00C86CD5" w:rsidRDefault="00C86CD5" w:rsidP="00C86CD5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C86CD5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C86CD5" w:rsidRPr="00C86CD5" w:rsidRDefault="00C86CD5" w:rsidP="00C86CD5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C86CD5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C86CD5" w:rsidRPr="00C86CD5" w:rsidTr="00C86CD5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C86CD5" w:rsidRPr="00C86CD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20" type="#_x0000_t75" style="width:20.25pt;height:18pt" o:ole="">
                        <v:imagedata r:id="rId29" o:title=""/>
                      </v:shape>
                      <w:control r:id="rId30" w:name="DefaultOcxName6" w:shapeid="_x0000_i132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מיזמים עתירי סיכון בכל תחום</w:t>
                  </w:r>
                </w:p>
              </w:tc>
            </w:tr>
            <w:tr w:rsidR="00C86CD5" w:rsidRPr="00C86CD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19" type="#_x0000_t75" style="width:20.25pt;height:18pt" o:ole="">
                        <v:imagedata r:id="rId31" o:title=""/>
                      </v:shape>
                      <w:control r:id="rId32" w:name="DefaultOcxName13" w:shapeid="_x0000_i131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מיזמים בתחומים עתירי טכנולוגיה ומבוססי מחקר ופיתוח</w:t>
                  </w:r>
                </w:p>
              </w:tc>
            </w:tr>
            <w:tr w:rsidR="00C86CD5" w:rsidRPr="00C86CD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18" type="#_x0000_t75" style="width:20.25pt;height:18pt" o:ole="">
                        <v:imagedata r:id="rId33" o:title=""/>
                      </v:shape>
                      <w:control r:id="rId34" w:name="DefaultOcxName23" w:shapeid="_x0000_i131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כל תחום עסקי המעניק תשואה גבוהה אל מול סיכון נמוך</w:t>
                  </w:r>
                </w:p>
              </w:tc>
            </w:tr>
            <w:tr w:rsidR="00C86CD5" w:rsidRPr="00C86CD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17" type="#_x0000_t75" style="width:20.25pt;height:18pt" o:ole="">
                        <v:imagedata r:id="rId35" o:title=""/>
                      </v:shape>
                      <w:control r:id="rId36" w:name="DefaultOcxName33" w:shapeid="_x0000_i131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חברות מבוססות המחפשות כיווני התרחבות עתירי סיכון</w:t>
                  </w:r>
                </w:p>
              </w:tc>
            </w:tr>
          </w:tbl>
          <w:p w:rsidR="00C86CD5" w:rsidRPr="00C86CD5" w:rsidRDefault="00C86CD5" w:rsidP="00C86CD5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C86CD5" w:rsidRPr="00C86CD5" w:rsidRDefault="00C86CD5" w:rsidP="00C86CD5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C86CD5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C86CD5" w:rsidRPr="00C86CD5" w:rsidRDefault="00C86CD5" w:rsidP="00C86CD5">
      <w:pPr>
        <w:bidi w:val="0"/>
        <w:rPr>
          <w:rFonts w:cs="David" w:hint="cs"/>
          <w:b/>
          <w:bCs/>
          <w:sz w:val="24"/>
          <w:szCs w:val="24"/>
          <w:u w:val="single"/>
          <w:rtl/>
        </w:rPr>
      </w:pPr>
    </w:p>
    <w:p w:rsidR="00C86CD5" w:rsidRPr="00C86CD5" w:rsidRDefault="00C86CD5" w:rsidP="00C86CD5">
      <w:pPr>
        <w:bidi w:val="0"/>
        <w:rPr>
          <w:rFonts w:cs="David" w:hint="cs"/>
          <w:b/>
          <w:bCs/>
          <w:sz w:val="24"/>
          <w:szCs w:val="24"/>
          <w:u w:val="single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C86CD5" w:rsidRPr="00C86CD5" w:rsidTr="00C86CD5">
        <w:trPr>
          <w:tblCellSpacing w:w="0" w:type="dxa"/>
        </w:trPr>
        <w:tc>
          <w:tcPr>
            <w:tcW w:w="0" w:type="auto"/>
            <w:vAlign w:val="center"/>
            <w:hideMark/>
          </w:tcPr>
          <w:p w:rsidR="00C86CD5" w:rsidRPr="00C86CD5" w:rsidRDefault="00C86CD5" w:rsidP="00C86CD5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C86CD5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לפני התנעת מיזם חדש תידרש הזרמת כספים אליו לצרכים הבאים</w:t>
            </w:r>
            <w:r w:rsidRPr="00C86CD5">
              <w:rPr>
                <w:rFonts w:ascii="Arial" w:eastAsia="Times New Roman" w:hAnsi="Arial" w:cs="David"/>
                <w:sz w:val="24"/>
                <w:szCs w:val="24"/>
                <w:rtl/>
              </w:rPr>
              <w:t>:</w:t>
            </w:r>
          </w:p>
        </w:tc>
      </w:tr>
      <w:tr w:rsidR="00C86CD5" w:rsidRPr="00C86CD5" w:rsidTr="00C86CD5">
        <w:trPr>
          <w:tblCellSpacing w:w="0" w:type="dxa"/>
        </w:trPr>
        <w:tc>
          <w:tcPr>
            <w:tcW w:w="0" w:type="auto"/>
            <w:vAlign w:val="center"/>
            <w:hideMark/>
          </w:tcPr>
          <w:p w:rsidR="00C86CD5" w:rsidRPr="00C86CD5" w:rsidRDefault="00C86CD5" w:rsidP="00C86CD5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C86CD5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 2 תשובות נכונות</w:t>
            </w:r>
          </w:p>
        </w:tc>
      </w:tr>
    </w:tbl>
    <w:p w:rsidR="00C86CD5" w:rsidRPr="00C86CD5" w:rsidRDefault="00C86CD5" w:rsidP="00C86CD5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C86CD5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C86CD5" w:rsidRPr="00C86CD5" w:rsidRDefault="00C86CD5" w:rsidP="00C86CD5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C86CD5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C86CD5" w:rsidRPr="00C86CD5" w:rsidTr="00C86CD5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C86CD5" w:rsidRPr="00C86CD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32" type="#_x0000_t75" style="width:20.25pt;height:18pt" o:ole="">
                        <v:imagedata r:id="rId37" o:title=""/>
                      </v:shape>
                      <w:control r:id="rId38" w:name="DefaultOcxName7" w:shapeid="_x0000_i133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פעילות הקמה (משרדים, אמצעי יצור, גיוס כ"א, תשתיות</w:t>
                  </w: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</w:rPr>
                    <w:t>)</w:t>
                  </w:r>
                </w:p>
              </w:tc>
            </w:tr>
            <w:tr w:rsidR="00C86CD5" w:rsidRPr="00C86CD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31" type="#_x0000_t75" style="width:20.25pt;height:18pt" o:ole="">
                        <v:imagedata r:id="rId39" o:title=""/>
                      </v:shape>
                      <w:control r:id="rId40" w:name="DefaultOcxName14" w:shapeid="_x0000_i133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הגדלת קיבולת היצור</w:t>
                  </w:r>
                </w:p>
              </w:tc>
            </w:tr>
            <w:tr w:rsidR="00C86CD5" w:rsidRPr="00C86CD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30" type="#_x0000_t75" style="width:20.25pt;height:18pt" o:ole="">
                        <v:imagedata r:id="rId41" o:title=""/>
                      </v:shape>
                      <w:control r:id="rId42" w:name="DefaultOcxName24" w:shapeid="_x0000_i133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מימון תכניות הצמיחה ארוכות הטווח שלו</w:t>
                  </w:r>
                </w:p>
              </w:tc>
            </w:tr>
            <w:tr w:rsidR="00C86CD5" w:rsidRPr="00C86CD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29" type="#_x0000_t75" style="width:20.25pt;height:18pt" o:ole="">
                        <v:imagedata r:id="rId43" o:title=""/>
                      </v:shape>
                      <w:control r:id="rId44" w:name="DefaultOcxName34" w:shapeid="_x0000_i132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הצטיידות במלאי ראשוני (חומרי גלם או מוצרים</w:t>
                  </w: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C86CD5" w:rsidRPr="00C86CD5" w:rsidRDefault="00C86CD5" w:rsidP="00C86CD5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C86CD5" w:rsidRPr="00C86CD5" w:rsidRDefault="00C86CD5" w:rsidP="00C86CD5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C86CD5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C86CD5" w:rsidRPr="00C86CD5" w:rsidRDefault="00C86CD5" w:rsidP="00C86CD5">
      <w:pPr>
        <w:bidi w:val="0"/>
        <w:rPr>
          <w:rFonts w:cs="David" w:hint="cs"/>
          <w:b/>
          <w:bCs/>
          <w:sz w:val="24"/>
          <w:szCs w:val="24"/>
          <w:u w:val="single"/>
          <w:rtl/>
        </w:rPr>
      </w:pPr>
    </w:p>
    <w:p w:rsidR="00C86CD5" w:rsidRPr="00C86CD5" w:rsidRDefault="00C86CD5" w:rsidP="00C86CD5">
      <w:pPr>
        <w:bidi w:val="0"/>
        <w:rPr>
          <w:rFonts w:cs="David" w:hint="cs"/>
          <w:b/>
          <w:bCs/>
          <w:sz w:val="24"/>
          <w:szCs w:val="24"/>
          <w:u w:val="single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C86CD5" w:rsidRPr="00C86CD5" w:rsidTr="00C86CD5">
        <w:trPr>
          <w:tblCellSpacing w:w="0" w:type="dxa"/>
        </w:trPr>
        <w:tc>
          <w:tcPr>
            <w:tcW w:w="0" w:type="auto"/>
            <w:vAlign w:val="center"/>
            <w:hideMark/>
          </w:tcPr>
          <w:p w:rsidR="00C86CD5" w:rsidRPr="00C86CD5" w:rsidRDefault="00C86CD5" w:rsidP="00C86CD5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C86CD5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מקורות המימון האופייניים אשר סביר שיהיו זמינים למיזם לאורך מחזור חייו נגזרים מ</w:t>
            </w:r>
            <w:r w:rsidRPr="00C86CD5">
              <w:rPr>
                <w:rFonts w:ascii="Arial" w:eastAsia="Times New Roman" w:hAnsi="Arial" w:cs="David"/>
                <w:sz w:val="24"/>
                <w:szCs w:val="24"/>
              </w:rPr>
              <w:t>:</w:t>
            </w:r>
          </w:p>
        </w:tc>
      </w:tr>
      <w:tr w:rsidR="00C86CD5" w:rsidRPr="00C86CD5" w:rsidTr="00C86CD5">
        <w:trPr>
          <w:tblCellSpacing w:w="0" w:type="dxa"/>
        </w:trPr>
        <w:tc>
          <w:tcPr>
            <w:tcW w:w="0" w:type="auto"/>
            <w:vAlign w:val="center"/>
            <w:hideMark/>
          </w:tcPr>
          <w:p w:rsidR="00C86CD5" w:rsidRPr="00C86CD5" w:rsidRDefault="00C86CD5" w:rsidP="00C86CD5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C86CD5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C86CD5" w:rsidRPr="00C86CD5" w:rsidRDefault="00C86CD5" w:rsidP="00C86CD5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C86CD5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C86CD5" w:rsidRPr="00C86CD5" w:rsidRDefault="00C86CD5" w:rsidP="00C86CD5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C86CD5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C86CD5" w:rsidRPr="00C86CD5" w:rsidTr="00C86CD5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C86CD5" w:rsidRPr="00C86CD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44" type="#_x0000_t75" style="width:20.25pt;height:18pt" o:ole="">
                        <v:imagedata r:id="rId45" o:title=""/>
                      </v:shape>
                      <w:control r:id="rId46" w:name="DefaultOcxName8" w:shapeid="_x0000_i134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השלב בו הוא מצוי במחזור חייו (למשל: הקמה, פעילות שוטפת, צמיחה מהירה וכד</w:t>
                  </w: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</w:rPr>
                    <w:t>')</w:t>
                  </w:r>
                </w:p>
              </w:tc>
            </w:tr>
            <w:tr w:rsidR="00C86CD5" w:rsidRPr="00C86CD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43" type="#_x0000_t75" style="width:20.25pt;height:18pt" o:ole="">
                        <v:imagedata r:id="rId47" o:title=""/>
                      </v:shape>
                      <w:control r:id="rId48" w:name="DefaultOcxName15" w:shapeid="_x0000_i134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נכונותם של היזמים לוותר על אחוזי בעלות תמורת השקעה: ככל שזו תגדל - כן יגדל מגוון המשקיעים הפוטנציאליים</w:t>
                  </w:r>
                </w:p>
              </w:tc>
            </w:tr>
            <w:tr w:rsidR="00C86CD5" w:rsidRPr="00C86CD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42" type="#_x0000_t75" style="width:20.25pt;height:18pt" o:ole="">
                        <v:imagedata r:id="rId49" o:title=""/>
                      </v:shape>
                      <w:control r:id="rId50" w:name="DefaultOcxName25" w:shapeid="_x0000_i134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היקף ההשקעה הנדרשת בו: כך, למשל, בנק לא </w:t>
                  </w:r>
                  <w:proofErr w:type="spellStart"/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יתן</w:t>
                  </w:r>
                  <w:proofErr w:type="spellEnd"/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 הלוואה בת מיליוני דולרים לשום מיזם בהקמה</w:t>
                  </w:r>
                </w:p>
              </w:tc>
            </w:tr>
            <w:tr w:rsidR="00C86CD5" w:rsidRPr="00C86CD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41" type="#_x0000_t75" style="width:20.25pt;height:18pt" o:ole="">
                        <v:imagedata r:id="rId51" o:title=""/>
                      </v:shape>
                      <w:control r:id="rId52" w:name="DefaultOcxName35" w:shapeid="_x0000_i134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רמת הסיכון של המיזם: כך, למשל, קרן הון סיכון לא תשקיע במיזם בסיכון גבוה במיוחד</w:t>
                  </w:r>
                </w:p>
              </w:tc>
            </w:tr>
          </w:tbl>
          <w:p w:rsidR="00C86CD5" w:rsidRPr="00C86CD5" w:rsidRDefault="00C86CD5" w:rsidP="00C86CD5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C86CD5" w:rsidRPr="00C86CD5" w:rsidRDefault="00C86CD5" w:rsidP="00C86CD5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C86CD5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C86CD5" w:rsidRPr="00C86CD5" w:rsidRDefault="00C86CD5" w:rsidP="00C86CD5">
      <w:pPr>
        <w:bidi w:val="0"/>
        <w:rPr>
          <w:rFonts w:cs="David"/>
          <w:b/>
          <w:bCs/>
          <w:sz w:val="24"/>
          <w:szCs w:val="24"/>
          <w:u w:val="single"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C86CD5" w:rsidRPr="00C86CD5" w:rsidTr="00C86CD5">
        <w:trPr>
          <w:tblCellSpacing w:w="0" w:type="dxa"/>
        </w:trPr>
        <w:tc>
          <w:tcPr>
            <w:tcW w:w="0" w:type="auto"/>
            <w:vAlign w:val="center"/>
            <w:hideMark/>
          </w:tcPr>
          <w:p w:rsidR="00C86CD5" w:rsidRPr="00C86CD5" w:rsidRDefault="00C86CD5" w:rsidP="00C86CD5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C86CD5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משקיע פיננסי הינו משקיע</w:t>
            </w:r>
            <w:r w:rsidRPr="00C86CD5">
              <w:rPr>
                <w:rFonts w:ascii="Arial" w:eastAsia="Times New Roman" w:hAnsi="Arial" w:cs="David"/>
                <w:sz w:val="24"/>
                <w:szCs w:val="24"/>
                <w:rtl/>
              </w:rPr>
              <w:t>:</w:t>
            </w:r>
          </w:p>
        </w:tc>
      </w:tr>
      <w:tr w:rsidR="00C86CD5" w:rsidRPr="00C86CD5" w:rsidTr="00C86CD5">
        <w:trPr>
          <w:tblCellSpacing w:w="0" w:type="dxa"/>
        </w:trPr>
        <w:tc>
          <w:tcPr>
            <w:tcW w:w="0" w:type="auto"/>
            <w:vAlign w:val="center"/>
            <w:hideMark/>
          </w:tcPr>
          <w:p w:rsidR="00C86CD5" w:rsidRPr="00C86CD5" w:rsidRDefault="00C86CD5" w:rsidP="00C86CD5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C86CD5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C86CD5" w:rsidRPr="00C86CD5" w:rsidRDefault="00C86CD5" w:rsidP="00C86CD5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C86CD5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C86CD5" w:rsidRPr="00C86CD5" w:rsidRDefault="00C86CD5" w:rsidP="00C86CD5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C86CD5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C86CD5" w:rsidRPr="00C86CD5" w:rsidTr="00C86CD5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C86CD5" w:rsidRPr="00C86CD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56" type="#_x0000_t75" style="width:20.25pt;height:18pt" o:ole="">
                        <v:imagedata r:id="rId53" o:title=""/>
                      </v:shape>
                      <w:control r:id="rId54" w:name="DefaultOcxName9" w:shapeid="_x0000_i135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המחפש השקעות בסיכון נמוך ותשואה נמוכה</w:t>
                  </w:r>
                </w:p>
              </w:tc>
            </w:tr>
            <w:tr w:rsidR="00C86CD5" w:rsidRPr="00C86CD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55" type="#_x0000_t75" style="width:20.25pt;height:18pt" o:ole="">
                        <v:imagedata r:id="rId55" o:title=""/>
                      </v:shape>
                      <w:control r:id="rId56" w:name="DefaultOcxName16" w:shapeid="_x0000_i135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המחפש השקעות בסיכון גבוה ותשואה נמוכה</w:t>
                  </w:r>
                </w:p>
              </w:tc>
            </w:tr>
            <w:tr w:rsidR="00C86CD5" w:rsidRPr="00C86CD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54" type="#_x0000_t75" style="width:20.25pt;height:18pt" o:ole="">
                        <v:imagedata r:id="rId57" o:title=""/>
                      </v:shape>
                      <w:control r:id="rId58" w:name="DefaultOcxName26" w:shapeid="_x0000_i135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המעוניין בהשקעה ארוכת טווח, תוך גילוי מעורבות גבוהה בניהול המיזם</w:t>
                  </w:r>
                </w:p>
              </w:tc>
            </w:tr>
            <w:tr w:rsidR="00C86CD5" w:rsidRPr="00C86CD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53" type="#_x0000_t75" style="width:20.25pt;height:18pt" o:ole="">
                        <v:imagedata r:id="rId59" o:title=""/>
                      </v:shape>
                      <w:control r:id="rId60" w:name="DefaultOcxName36" w:shapeid="_x0000_i135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המעוניין ברווח בטווח קצר יחסית, תוך גילוי מעורבות נמוכה בניהול המיזם</w:t>
                  </w:r>
                </w:p>
              </w:tc>
            </w:tr>
          </w:tbl>
          <w:p w:rsidR="00C86CD5" w:rsidRPr="00C86CD5" w:rsidRDefault="00C86CD5" w:rsidP="00C86CD5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C86CD5" w:rsidRPr="00C86CD5" w:rsidRDefault="00C86CD5" w:rsidP="00C86CD5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C86CD5">
        <w:rPr>
          <w:rFonts w:ascii="Arial" w:eastAsia="Times New Roman" w:hAnsi="Arial" w:cs="David"/>
          <w:vanish/>
          <w:sz w:val="24"/>
          <w:szCs w:val="24"/>
          <w:rtl/>
        </w:rPr>
        <w:lastRenderedPageBreak/>
        <w:t>תחתית הטופס</w:t>
      </w:r>
    </w:p>
    <w:p w:rsidR="00C86CD5" w:rsidRPr="00C86CD5" w:rsidRDefault="00C86CD5" w:rsidP="00C86CD5">
      <w:pPr>
        <w:bidi w:val="0"/>
        <w:rPr>
          <w:rFonts w:cs="David" w:hint="cs"/>
          <w:b/>
          <w:bCs/>
          <w:sz w:val="24"/>
          <w:szCs w:val="24"/>
          <w:u w:val="single"/>
          <w:rtl/>
        </w:rPr>
      </w:pPr>
    </w:p>
    <w:p w:rsidR="00C86CD5" w:rsidRPr="00C86CD5" w:rsidRDefault="00C86CD5" w:rsidP="00C86CD5">
      <w:pPr>
        <w:bidi w:val="0"/>
        <w:rPr>
          <w:rFonts w:cs="David" w:hint="cs"/>
          <w:b/>
          <w:bCs/>
          <w:sz w:val="24"/>
          <w:szCs w:val="24"/>
          <w:u w:val="single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C86CD5" w:rsidRPr="00C86CD5" w:rsidTr="00C86CD5">
        <w:trPr>
          <w:tblCellSpacing w:w="0" w:type="dxa"/>
        </w:trPr>
        <w:tc>
          <w:tcPr>
            <w:tcW w:w="0" w:type="auto"/>
            <w:vAlign w:val="center"/>
            <w:hideMark/>
          </w:tcPr>
          <w:p w:rsidR="00C86CD5" w:rsidRPr="00C86CD5" w:rsidRDefault="00C86CD5" w:rsidP="00C86CD5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C86CD5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אשראי ספקים משמש את המיזם לצורך</w:t>
            </w:r>
            <w:r w:rsidRPr="00C86CD5">
              <w:rPr>
                <w:rFonts w:ascii="Arial" w:eastAsia="Times New Roman" w:hAnsi="Arial" w:cs="David"/>
                <w:sz w:val="24"/>
                <w:szCs w:val="24"/>
                <w:rtl/>
              </w:rPr>
              <w:t>:</w:t>
            </w:r>
          </w:p>
        </w:tc>
      </w:tr>
      <w:tr w:rsidR="00C86CD5" w:rsidRPr="00C86CD5" w:rsidTr="00C86CD5">
        <w:trPr>
          <w:tblCellSpacing w:w="0" w:type="dxa"/>
        </w:trPr>
        <w:tc>
          <w:tcPr>
            <w:tcW w:w="0" w:type="auto"/>
            <w:vAlign w:val="center"/>
            <w:hideMark/>
          </w:tcPr>
          <w:p w:rsidR="00C86CD5" w:rsidRPr="00C86CD5" w:rsidRDefault="00C86CD5" w:rsidP="00C86CD5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C86CD5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C86CD5" w:rsidRPr="00C86CD5" w:rsidRDefault="00C86CD5" w:rsidP="00C86CD5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C86CD5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C86CD5" w:rsidRPr="00C86CD5" w:rsidRDefault="00C86CD5" w:rsidP="00C86CD5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C86CD5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C86CD5" w:rsidRPr="00C86CD5" w:rsidTr="00C86CD5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C86CD5" w:rsidRPr="00C86CD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68" type="#_x0000_t75" style="width:20.25pt;height:18pt" o:ole="">
                        <v:imagedata r:id="rId61" o:title=""/>
                      </v:shape>
                      <w:control r:id="rId62" w:name="DefaultOcxName10" w:shapeid="_x0000_i136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הקלה על הלקוחות המעוניינים לרכוש ממנו מוצרים</w:t>
                  </w:r>
                </w:p>
              </w:tc>
            </w:tr>
            <w:tr w:rsidR="00C86CD5" w:rsidRPr="00C86CD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67" type="#_x0000_t75" style="width:20.25pt;height:18pt" o:ole="">
                        <v:imagedata r:id="rId63" o:title=""/>
                      </v:shape>
                      <w:control r:id="rId64" w:name="DefaultOcxName17" w:shapeid="_x0000_i136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מימון ארוך טווח של צרכי הגידול שלו</w:t>
                  </w:r>
                </w:p>
              </w:tc>
            </w:tr>
            <w:tr w:rsidR="00C86CD5" w:rsidRPr="00C86CD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66" type="#_x0000_t75" style="width:20.25pt;height:18pt" o:ole="">
                        <v:imagedata r:id="rId65" o:title=""/>
                      </v:shape>
                      <w:control r:id="rId66" w:name="DefaultOcxName27" w:shapeid="_x0000_i136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הקלה על הספקים המעוניינים למכור לו חומרי גלם</w:t>
                  </w:r>
                </w:p>
              </w:tc>
            </w:tr>
            <w:tr w:rsidR="00C86CD5" w:rsidRPr="00C86CD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65" type="#_x0000_t75" style="width:20.25pt;height:18pt" o:ole="">
                        <v:imagedata r:id="rId67" o:title=""/>
                      </v:shape>
                      <w:control r:id="rId68" w:name="DefaultOcxName37" w:shapeid="_x0000_i136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מימון קצר טווח, כמענה לפער הזמנים מרכישת חומרי גלם עד מכירת מוצר סופי</w:t>
                  </w:r>
                </w:p>
              </w:tc>
            </w:tr>
          </w:tbl>
          <w:p w:rsidR="00C86CD5" w:rsidRPr="00C86CD5" w:rsidRDefault="00C86CD5" w:rsidP="00C86CD5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C86CD5" w:rsidRPr="00C86CD5" w:rsidRDefault="00C86CD5" w:rsidP="00C86CD5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C86CD5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C86CD5" w:rsidRPr="00C86CD5" w:rsidRDefault="00C86CD5" w:rsidP="00C86CD5">
      <w:pPr>
        <w:bidi w:val="0"/>
        <w:rPr>
          <w:rFonts w:cs="David" w:hint="cs"/>
          <w:b/>
          <w:bCs/>
          <w:sz w:val="24"/>
          <w:szCs w:val="24"/>
          <w:u w:val="single"/>
          <w:rtl/>
        </w:rPr>
      </w:pPr>
    </w:p>
    <w:p w:rsidR="00C86CD5" w:rsidRPr="00C86CD5" w:rsidRDefault="00C86CD5" w:rsidP="00C86CD5">
      <w:pPr>
        <w:bidi w:val="0"/>
        <w:rPr>
          <w:rFonts w:cs="David" w:hint="cs"/>
          <w:b/>
          <w:bCs/>
          <w:sz w:val="24"/>
          <w:szCs w:val="24"/>
          <w:u w:val="single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C86CD5" w:rsidRPr="00C86CD5" w:rsidTr="00C86CD5">
        <w:trPr>
          <w:tblCellSpacing w:w="0" w:type="dxa"/>
        </w:trPr>
        <w:tc>
          <w:tcPr>
            <w:tcW w:w="0" w:type="auto"/>
            <w:vAlign w:val="center"/>
            <w:hideMark/>
          </w:tcPr>
          <w:p w:rsidR="00C86CD5" w:rsidRPr="00C86CD5" w:rsidRDefault="00C86CD5" w:rsidP="00C86CD5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C86CD5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מיזם הנמצא בצמיחה מואצת ומתחיל להרוויח עשוי למצוא את עצמו</w:t>
            </w:r>
          </w:p>
        </w:tc>
      </w:tr>
      <w:tr w:rsidR="00C86CD5" w:rsidRPr="00C86CD5" w:rsidTr="00C86CD5">
        <w:trPr>
          <w:tblCellSpacing w:w="0" w:type="dxa"/>
        </w:trPr>
        <w:tc>
          <w:tcPr>
            <w:tcW w:w="0" w:type="auto"/>
            <w:vAlign w:val="center"/>
            <w:hideMark/>
          </w:tcPr>
          <w:p w:rsidR="00C86CD5" w:rsidRPr="00C86CD5" w:rsidRDefault="00C86CD5" w:rsidP="00C86CD5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C86CD5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C86CD5" w:rsidRPr="00C86CD5" w:rsidRDefault="00C86CD5" w:rsidP="00C86CD5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C86CD5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C86CD5" w:rsidRPr="00C86CD5" w:rsidRDefault="00C86CD5" w:rsidP="00C86CD5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C86CD5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C86CD5" w:rsidRPr="00C86CD5" w:rsidTr="00C86CD5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C86CD5" w:rsidRPr="00C86CD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80" type="#_x0000_t75" style="width:20.25pt;height:18pt" o:ole="">
                        <v:imagedata r:id="rId69" o:title=""/>
                      </v:shape>
                      <w:control r:id="rId70" w:name="DefaultOcxName19" w:shapeid="_x0000_i138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בעודף מזומנים, בגלל הגידול במכירות</w:t>
                  </w:r>
                </w:p>
              </w:tc>
            </w:tr>
            <w:tr w:rsidR="00C86CD5" w:rsidRPr="00C86CD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79" type="#_x0000_t75" style="width:20.25pt;height:18pt" o:ole="">
                        <v:imagedata r:id="rId71" o:title=""/>
                      </v:shape>
                      <w:control r:id="rId72" w:name="DefaultOcxName18" w:shapeid="_x0000_i137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במצב פיננסי מצוין: גם מרוויח וגם צומח</w:t>
                  </w:r>
                </w:p>
              </w:tc>
            </w:tr>
            <w:tr w:rsidR="00C86CD5" w:rsidRPr="00C86CD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78" type="#_x0000_t75" style="width:20.25pt;height:18pt" o:ole="">
                        <v:imagedata r:id="rId73" o:title=""/>
                      </v:shape>
                      <w:control r:id="rId74" w:name="DefaultOcxName28" w:shapeid="_x0000_i137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במשבר חריף, כיוון שגידול במכירות בדרך כלל פוגע ברווחיות</w:t>
                  </w:r>
                </w:p>
              </w:tc>
            </w:tr>
            <w:tr w:rsidR="00C86CD5" w:rsidRPr="00C86CD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77" type="#_x0000_t75" style="width:20.25pt;height:18pt" o:ole="">
                        <v:imagedata r:id="rId75" o:title=""/>
                      </v:shape>
                      <w:control r:id="rId76" w:name="DefaultOcxName38" w:shapeid="_x0000_i137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בחוסר במזומנים הנדרשים למימון צמיחתו, למרות היותו רווחי</w:t>
                  </w:r>
                </w:p>
              </w:tc>
            </w:tr>
          </w:tbl>
          <w:p w:rsidR="00C86CD5" w:rsidRPr="00C86CD5" w:rsidRDefault="00C86CD5" w:rsidP="00C86CD5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C86CD5" w:rsidRPr="00C86CD5" w:rsidRDefault="00C86CD5" w:rsidP="00C86CD5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C86CD5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C86CD5" w:rsidRPr="00C86CD5" w:rsidRDefault="00C86CD5" w:rsidP="00C86CD5">
      <w:pPr>
        <w:bidi w:val="0"/>
        <w:rPr>
          <w:rFonts w:cs="David" w:hint="cs"/>
          <w:b/>
          <w:bCs/>
          <w:sz w:val="24"/>
          <w:szCs w:val="24"/>
          <w:u w:val="single"/>
          <w:rtl/>
        </w:rPr>
      </w:pPr>
    </w:p>
    <w:p w:rsidR="00C86CD5" w:rsidRPr="00C86CD5" w:rsidRDefault="00C86CD5" w:rsidP="00C86CD5">
      <w:pPr>
        <w:bidi w:val="0"/>
        <w:rPr>
          <w:rFonts w:cs="David" w:hint="cs"/>
          <w:b/>
          <w:bCs/>
          <w:sz w:val="24"/>
          <w:szCs w:val="24"/>
          <w:u w:val="single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C86CD5" w:rsidRPr="00C86CD5" w:rsidTr="00C86CD5">
        <w:trPr>
          <w:tblCellSpacing w:w="0" w:type="dxa"/>
        </w:trPr>
        <w:tc>
          <w:tcPr>
            <w:tcW w:w="0" w:type="auto"/>
            <w:vAlign w:val="center"/>
            <w:hideMark/>
          </w:tcPr>
          <w:p w:rsidR="00C86CD5" w:rsidRPr="00C86CD5" w:rsidRDefault="00C86CD5" w:rsidP="00C86CD5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bookmarkStart w:id="0" w:name="_GoBack"/>
            <w:r w:rsidRPr="00C86CD5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קרן הון סיכון לא תשקיע בחברה שכבר השקיעה בה קרן אחרת</w:t>
            </w:r>
            <w:bookmarkEnd w:id="0"/>
            <w:r w:rsidRPr="00C86CD5">
              <w:rPr>
                <w:rFonts w:ascii="Arial" w:eastAsia="Times New Roman" w:hAnsi="Arial" w:cs="David"/>
                <w:sz w:val="24"/>
                <w:szCs w:val="24"/>
                <w:rtl/>
              </w:rPr>
              <w:t>:</w:t>
            </w:r>
          </w:p>
        </w:tc>
      </w:tr>
      <w:tr w:rsidR="00C86CD5" w:rsidRPr="00C86CD5" w:rsidTr="00C86CD5">
        <w:trPr>
          <w:tblCellSpacing w:w="0" w:type="dxa"/>
        </w:trPr>
        <w:tc>
          <w:tcPr>
            <w:tcW w:w="0" w:type="auto"/>
            <w:vAlign w:val="center"/>
            <w:hideMark/>
          </w:tcPr>
          <w:p w:rsidR="00C86CD5" w:rsidRPr="00C86CD5" w:rsidRDefault="00C86CD5" w:rsidP="00C86CD5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C86CD5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C86CD5" w:rsidRPr="00C86CD5" w:rsidRDefault="00C86CD5" w:rsidP="00C86CD5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C86CD5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C86CD5" w:rsidRPr="00C86CD5" w:rsidRDefault="00C86CD5" w:rsidP="00C86CD5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C86CD5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C86CD5" w:rsidRPr="00C86CD5" w:rsidTr="00C86CD5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C86CD5" w:rsidRPr="00C86CD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92" type="#_x0000_t75" style="width:20.25pt;height:18pt" o:ole="">
                        <v:imagedata r:id="rId77" o:title=""/>
                      </v:shape>
                      <w:control r:id="rId78" w:name="DefaultOcxName20" w:shapeid="_x0000_i139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נכון, קרנות הון סיכון מעדיפות להיות השותף האסטרטגי היחיד במיזם</w:t>
                  </w:r>
                </w:p>
              </w:tc>
            </w:tr>
            <w:tr w:rsidR="00C86CD5" w:rsidRPr="00C86CD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91" type="#_x0000_t75" style="width:20.25pt;height:18pt" o:ole="">
                        <v:imagedata r:id="rId79" o:title=""/>
                      </v:shape>
                      <w:control r:id="rId80" w:name="DefaultOcxName110" w:shapeid="_x0000_i139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לא נכון, לרוב קרנות מעדיפות השקעה משותפת עם קרנות אחרות</w:t>
                  </w:r>
                </w:p>
              </w:tc>
            </w:tr>
            <w:tr w:rsidR="00C86CD5" w:rsidRPr="00C86CD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90" type="#_x0000_t75" style="width:20.25pt;height:18pt" o:ole="">
                        <v:imagedata r:id="rId81" o:title=""/>
                      </v:shape>
                      <w:control r:id="rId82" w:name="DefaultOcxName29" w:shapeid="_x0000_i139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אם קרן אחרת כבר השקיעה במיזם הוא ממילא לא זקוק למימון נוסף</w:t>
                  </w:r>
                </w:p>
              </w:tc>
            </w:tr>
            <w:tr w:rsidR="00C86CD5" w:rsidRPr="00C86CD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89" type="#_x0000_t75" style="width:20.25pt;height:18pt" o:ole="">
                        <v:imagedata r:id="rId83" o:title=""/>
                      </v:shape>
                      <w:control r:id="rId84" w:name="DefaultOcxName39" w:shapeid="_x0000_i138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86CD5" w:rsidRPr="00C86CD5" w:rsidRDefault="00C86CD5" w:rsidP="00C86CD5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86CD5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נכון, אבל אם המימון עד עתה הגיע רק מהיזמים היא תשקול השקעה בכל זאת</w:t>
                  </w:r>
                </w:p>
              </w:tc>
            </w:tr>
          </w:tbl>
          <w:p w:rsidR="00C86CD5" w:rsidRPr="00C86CD5" w:rsidRDefault="00C86CD5" w:rsidP="00C86CD5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C86CD5" w:rsidRPr="00C86CD5" w:rsidRDefault="00C86CD5" w:rsidP="00C86CD5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C86CD5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C86CD5" w:rsidRPr="00C86CD5" w:rsidRDefault="00C86CD5" w:rsidP="00C86CD5">
      <w:pPr>
        <w:bidi w:val="0"/>
        <w:rPr>
          <w:rFonts w:cs="David" w:hint="cs"/>
          <w:b/>
          <w:bCs/>
          <w:sz w:val="24"/>
          <w:szCs w:val="24"/>
          <w:u w:val="single"/>
          <w:rtl/>
        </w:rPr>
      </w:pPr>
    </w:p>
    <w:sectPr w:rsidR="00C86CD5" w:rsidRPr="00C86CD5" w:rsidSect="00497117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33D"/>
    <w:rsid w:val="000E18C2"/>
    <w:rsid w:val="00497117"/>
    <w:rsid w:val="006F09D3"/>
    <w:rsid w:val="008B2BF9"/>
    <w:rsid w:val="00A43589"/>
    <w:rsid w:val="00C86CD5"/>
    <w:rsid w:val="00EB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58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43589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A43589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43589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semiHidden/>
    <w:rsid w:val="00A43589"/>
    <w:rPr>
      <w:rFonts w:ascii="Arial" w:eastAsia="Times New Roman" w:hAnsi="Arial" w:cs="Arial"/>
      <w:vanish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58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43589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A43589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43589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semiHidden/>
    <w:rsid w:val="00A43589"/>
    <w:rPr>
      <w:rFonts w:ascii="Arial" w:eastAsia="Times New Roman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1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8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4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5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4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4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9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1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9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22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5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8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207285">
              <w:marLeft w:val="0"/>
              <w:marRight w:val="4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27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58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104319">
              <w:marLeft w:val="0"/>
              <w:marRight w:val="4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79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72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52978">
              <w:marLeft w:val="0"/>
              <w:marRight w:val="4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8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13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1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8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27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104092">
              <w:marLeft w:val="0"/>
              <w:marRight w:val="4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88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03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99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7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876">
              <w:marLeft w:val="0"/>
              <w:marRight w:val="4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92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276584">
              <w:marLeft w:val="0"/>
              <w:marRight w:val="4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1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9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066906">
              <w:marLeft w:val="0"/>
              <w:marRight w:val="4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77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6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798237">
              <w:marLeft w:val="0"/>
              <w:marRight w:val="4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5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63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4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9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0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3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81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4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95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6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46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5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4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7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06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08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8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2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6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52488">
              <w:marLeft w:val="0"/>
              <w:marRight w:val="48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92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86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7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control" Target="activeX/activeX7.xml"/><Relationship Id="rId26" Type="http://schemas.openxmlformats.org/officeDocument/2006/relationships/control" Target="activeX/activeX11.xml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control" Target="activeX/activeX15.xml"/><Relationship Id="rId42" Type="http://schemas.openxmlformats.org/officeDocument/2006/relationships/control" Target="activeX/activeX19.xml"/><Relationship Id="rId47" Type="http://schemas.openxmlformats.org/officeDocument/2006/relationships/image" Target="media/image22.wmf"/><Relationship Id="rId50" Type="http://schemas.openxmlformats.org/officeDocument/2006/relationships/control" Target="activeX/activeX23.xml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control" Target="activeX/activeX32.xml"/><Relationship Id="rId76" Type="http://schemas.openxmlformats.org/officeDocument/2006/relationships/control" Target="activeX/activeX36.xml"/><Relationship Id="rId84" Type="http://schemas.openxmlformats.org/officeDocument/2006/relationships/control" Target="activeX/activeX40.xml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2" Type="http://schemas.microsoft.com/office/2007/relationships/stylesWithEffects" Target="stylesWithEffects.xml"/><Relationship Id="rId16" Type="http://schemas.openxmlformats.org/officeDocument/2006/relationships/control" Target="activeX/activeX6.xml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control" Target="activeX/activeX10.xml"/><Relationship Id="rId32" Type="http://schemas.openxmlformats.org/officeDocument/2006/relationships/control" Target="activeX/activeX14.xml"/><Relationship Id="rId37" Type="http://schemas.openxmlformats.org/officeDocument/2006/relationships/image" Target="media/image17.wmf"/><Relationship Id="rId40" Type="http://schemas.openxmlformats.org/officeDocument/2006/relationships/control" Target="activeX/activeX18.xml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control" Target="activeX/activeX27.xml"/><Relationship Id="rId66" Type="http://schemas.openxmlformats.org/officeDocument/2006/relationships/control" Target="activeX/activeX31.xml"/><Relationship Id="rId74" Type="http://schemas.openxmlformats.org/officeDocument/2006/relationships/control" Target="activeX/activeX35.xml"/><Relationship Id="rId79" Type="http://schemas.openxmlformats.org/officeDocument/2006/relationships/image" Target="media/image38.wmf"/><Relationship Id="rId5" Type="http://schemas.openxmlformats.org/officeDocument/2006/relationships/image" Target="media/image1.wmf"/><Relationship Id="rId61" Type="http://schemas.openxmlformats.org/officeDocument/2006/relationships/image" Target="media/image29.wmf"/><Relationship Id="rId82" Type="http://schemas.openxmlformats.org/officeDocument/2006/relationships/control" Target="activeX/activeX39.xml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control" Target="activeX/activeX5.xml"/><Relationship Id="rId22" Type="http://schemas.openxmlformats.org/officeDocument/2006/relationships/control" Target="activeX/activeX9.xml"/><Relationship Id="rId27" Type="http://schemas.openxmlformats.org/officeDocument/2006/relationships/image" Target="media/image12.wmf"/><Relationship Id="rId30" Type="http://schemas.openxmlformats.org/officeDocument/2006/relationships/control" Target="activeX/activeX13.xml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control" Target="activeX/activeX22.xml"/><Relationship Id="rId56" Type="http://schemas.openxmlformats.org/officeDocument/2006/relationships/control" Target="activeX/activeX26.xml"/><Relationship Id="rId64" Type="http://schemas.openxmlformats.org/officeDocument/2006/relationships/control" Target="activeX/activeX30.xml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8" Type="http://schemas.openxmlformats.org/officeDocument/2006/relationships/control" Target="activeX/activeX2.xml"/><Relationship Id="rId51" Type="http://schemas.openxmlformats.org/officeDocument/2006/relationships/image" Target="media/image24.wmf"/><Relationship Id="rId72" Type="http://schemas.openxmlformats.org/officeDocument/2006/relationships/control" Target="activeX/activeX34.xml"/><Relationship Id="rId80" Type="http://schemas.openxmlformats.org/officeDocument/2006/relationships/control" Target="activeX/activeX38.xml"/><Relationship Id="rId85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control" Target="activeX/activeX4.xml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control" Target="activeX/activeX17.xml"/><Relationship Id="rId46" Type="http://schemas.openxmlformats.org/officeDocument/2006/relationships/control" Target="activeX/activeX21.xml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control" Target="activeX/activeX8.xml"/><Relationship Id="rId41" Type="http://schemas.openxmlformats.org/officeDocument/2006/relationships/image" Target="media/image19.wmf"/><Relationship Id="rId54" Type="http://schemas.openxmlformats.org/officeDocument/2006/relationships/control" Target="activeX/activeX25.xml"/><Relationship Id="rId62" Type="http://schemas.openxmlformats.org/officeDocument/2006/relationships/control" Target="activeX/activeX29.xml"/><Relationship Id="rId70" Type="http://schemas.openxmlformats.org/officeDocument/2006/relationships/control" Target="activeX/activeX33.xml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control" Target="activeX/activeX12.xml"/><Relationship Id="rId36" Type="http://schemas.openxmlformats.org/officeDocument/2006/relationships/control" Target="activeX/activeX16.xml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control" Target="activeX/activeX3.xml"/><Relationship Id="rId31" Type="http://schemas.openxmlformats.org/officeDocument/2006/relationships/image" Target="media/image14.wmf"/><Relationship Id="rId44" Type="http://schemas.openxmlformats.org/officeDocument/2006/relationships/control" Target="activeX/activeX20.xml"/><Relationship Id="rId52" Type="http://schemas.openxmlformats.org/officeDocument/2006/relationships/control" Target="activeX/activeX24.xml"/><Relationship Id="rId60" Type="http://schemas.openxmlformats.org/officeDocument/2006/relationships/control" Target="activeX/activeX28.xml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control" Target="activeX/activeX37.xml"/><Relationship Id="rId81" Type="http://schemas.openxmlformats.org/officeDocument/2006/relationships/image" Target="media/image39.wmf"/><Relationship Id="rId86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799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4</cp:revision>
  <dcterms:created xsi:type="dcterms:W3CDTF">2012-04-09T21:57:00Z</dcterms:created>
  <dcterms:modified xsi:type="dcterms:W3CDTF">2012-06-17T14:12:00Z</dcterms:modified>
</cp:coreProperties>
</file>